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811162">
        <w:rPr>
          <w:bCs/>
          <w:sz w:val="28"/>
          <w:szCs w:val="28"/>
        </w:rPr>
        <w:t>сентябрь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811162" w:rsidRDefault="00252034" w:rsidP="00811162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811162">
        <w:rPr>
          <w:bCs/>
          <w:sz w:val="28"/>
          <w:szCs w:val="28"/>
        </w:rPr>
        <w:t>30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811162">
        <w:rPr>
          <w:bCs/>
          <w:sz w:val="28"/>
          <w:szCs w:val="28"/>
        </w:rPr>
        <w:t>9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811162">
        <w:rPr>
          <w:bCs/>
          <w:sz w:val="28"/>
          <w:szCs w:val="28"/>
        </w:rPr>
        <w:t>6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</w:t>
      </w:r>
      <w:r w:rsidR="00811162">
        <w:rPr>
          <w:bCs/>
          <w:sz w:val="28"/>
          <w:szCs w:val="28"/>
        </w:rPr>
        <w:t>х</w:t>
      </w:r>
      <w:r w:rsidR="00A622C8">
        <w:rPr>
          <w:bCs/>
          <w:sz w:val="28"/>
          <w:szCs w:val="28"/>
        </w:rPr>
        <w:t xml:space="preserve"> документарн</w:t>
      </w:r>
      <w:r w:rsidR="00811162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</w:t>
      </w:r>
      <w:r w:rsidR="00811162">
        <w:rPr>
          <w:bCs/>
          <w:sz w:val="28"/>
          <w:szCs w:val="28"/>
        </w:rPr>
        <w:t>х</w:t>
      </w:r>
      <w:r w:rsidR="00A622C8">
        <w:rPr>
          <w:bCs/>
          <w:sz w:val="28"/>
          <w:szCs w:val="28"/>
        </w:rPr>
        <w:t xml:space="preserve"> провер</w:t>
      </w:r>
      <w:r w:rsidR="00811162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9C5CDE">
        <w:rPr>
          <w:bCs/>
          <w:sz w:val="28"/>
          <w:szCs w:val="28"/>
        </w:rPr>
        <w:t xml:space="preserve"> </w:t>
      </w:r>
      <w:r w:rsidR="009C5CDE" w:rsidRPr="009C5CDE">
        <w:rPr>
          <w:sz w:val="28"/>
          <w:szCs w:val="28"/>
        </w:rPr>
        <w:t>Государственного казенного учреждения Самарской области «Центр занятости населения городского округа Кинель»</w:t>
      </w:r>
      <w:r w:rsidR="009C5CDE">
        <w:rPr>
          <w:szCs w:val="28"/>
        </w:rPr>
        <w:t xml:space="preserve">  </w:t>
      </w:r>
      <w:r w:rsidR="00E16074">
        <w:rPr>
          <w:bCs/>
          <w:sz w:val="28"/>
          <w:szCs w:val="28"/>
        </w:rPr>
        <w:t>ИНН 635</w:t>
      </w:r>
      <w:r w:rsidR="009C5CDE">
        <w:rPr>
          <w:bCs/>
          <w:sz w:val="28"/>
          <w:szCs w:val="28"/>
        </w:rPr>
        <w:t>0006627,</w:t>
      </w:r>
      <w:r w:rsidR="00BE18BE">
        <w:rPr>
          <w:bCs/>
          <w:sz w:val="28"/>
          <w:szCs w:val="28"/>
        </w:rPr>
        <w:t xml:space="preserve"> </w:t>
      </w:r>
      <w:r w:rsidR="009C5CDE" w:rsidRPr="009C5CDE">
        <w:rPr>
          <w:sz w:val="28"/>
          <w:szCs w:val="28"/>
        </w:rPr>
        <w:t>Муниципального бюджетного образовательного учреждения дополнительного образования детей «Детская школа искусств «Камертон»</w:t>
      </w:r>
      <w:r w:rsidR="009C5CDE">
        <w:rPr>
          <w:sz w:val="28"/>
          <w:szCs w:val="28"/>
        </w:rPr>
        <w:t xml:space="preserve"> </w:t>
      </w:r>
      <w:r w:rsidR="00E16074">
        <w:rPr>
          <w:bCs/>
          <w:sz w:val="28"/>
          <w:szCs w:val="28"/>
        </w:rPr>
        <w:t>ИНН 63</w:t>
      </w:r>
      <w:r w:rsidR="00576C17">
        <w:rPr>
          <w:bCs/>
          <w:sz w:val="28"/>
          <w:szCs w:val="28"/>
        </w:rPr>
        <w:t>5</w:t>
      </w:r>
      <w:r w:rsidR="009C5CDE">
        <w:rPr>
          <w:bCs/>
          <w:sz w:val="28"/>
          <w:szCs w:val="28"/>
        </w:rPr>
        <w:t>0006024</w:t>
      </w:r>
      <w:r w:rsidR="00811162">
        <w:rPr>
          <w:bCs/>
          <w:sz w:val="28"/>
          <w:szCs w:val="28"/>
        </w:rPr>
        <w:t xml:space="preserve">, </w:t>
      </w:r>
      <w:r w:rsidR="00BE18BE">
        <w:rPr>
          <w:bCs/>
          <w:sz w:val="28"/>
          <w:szCs w:val="28"/>
        </w:rPr>
        <w:t>ООО «</w:t>
      </w:r>
      <w:r w:rsidR="009C5CDE">
        <w:rPr>
          <w:bCs/>
          <w:sz w:val="28"/>
          <w:szCs w:val="28"/>
        </w:rPr>
        <w:t>Автотрасс</w:t>
      </w:r>
      <w:r w:rsidR="00BE18BE">
        <w:rPr>
          <w:bCs/>
          <w:sz w:val="28"/>
          <w:szCs w:val="28"/>
        </w:rPr>
        <w:t>» ИНН 635</w:t>
      </w:r>
      <w:r w:rsidR="009C5CDE">
        <w:rPr>
          <w:bCs/>
          <w:sz w:val="28"/>
          <w:szCs w:val="28"/>
        </w:rPr>
        <w:t>0004997</w:t>
      </w:r>
      <w:r w:rsidR="00811162">
        <w:rPr>
          <w:bCs/>
          <w:sz w:val="28"/>
          <w:szCs w:val="28"/>
        </w:rPr>
        <w:t>, ТСЖ «Мостовая, 28а» ИНН 6350018559, ТСЖ «Фестиваль» ИНН 6350013857 и ТСЖ «Алекс» ИНН 6350010197.</w:t>
      </w:r>
      <w:r w:rsidR="00BE18BE">
        <w:rPr>
          <w:bCs/>
          <w:sz w:val="28"/>
          <w:szCs w:val="28"/>
        </w:rPr>
        <w:t xml:space="preserve"> </w:t>
      </w:r>
      <w:r w:rsidR="00811162">
        <w:rPr>
          <w:bCs/>
          <w:sz w:val="28"/>
          <w:szCs w:val="28"/>
        </w:rPr>
        <w:t xml:space="preserve">В отношении </w:t>
      </w:r>
      <w:r w:rsidR="00297EB7" w:rsidRPr="009C5CDE">
        <w:rPr>
          <w:sz w:val="28"/>
          <w:szCs w:val="28"/>
        </w:rPr>
        <w:t>Государственного казенного учреждения Самарской области «Центр занятости населения городского округа Кинель»</w:t>
      </w:r>
      <w:r w:rsidR="00297EB7">
        <w:rPr>
          <w:bCs/>
          <w:sz w:val="28"/>
          <w:szCs w:val="28"/>
        </w:rPr>
        <w:t xml:space="preserve">, </w:t>
      </w:r>
      <w:r w:rsidR="00297EB7" w:rsidRPr="009C5CDE">
        <w:rPr>
          <w:sz w:val="28"/>
          <w:szCs w:val="28"/>
        </w:rPr>
        <w:lastRenderedPageBreak/>
        <w:t>Муниципального бюджетного образовательного учреждения дополнительного образования детей «Детская школа искусств «Камертон»</w:t>
      </w:r>
      <w:r w:rsidR="00297EB7">
        <w:rPr>
          <w:bCs/>
          <w:sz w:val="28"/>
          <w:szCs w:val="28"/>
        </w:rPr>
        <w:t xml:space="preserve">, ООО «Автотрасс» </w:t>
      </w:r>
      <w:r w:rsidR="00811162">
        <w:rPr>
          <w:bCs/>
          <w:sz w:val="28"/>
          <w:szCs w:val="28"/>
        </w:rPr>
        <w:t>проверки были завершены. Нарушений природоохранного законодательства не выявлен</w:t>
      </w:r>
      <w:r w:rsidR="00511933">
        <w:rPr>
          <w:bCs/>
          <w:sz w:val="28"/>
          <w:szCs w:val="28"/>
        </w:rPr>
        <w:t>о</w:t>
      </w:r>
      <w:r w:rsidR="00811162">
        <w:rPr>
          <w:bCs/>
          <w:sz w:val="28"/>
          <w:szCs w:val="28"/>
        </w:rPr>
        <w:t>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bookmarkStart w:id="2" w:name="_GoBack"/>
      <w:bookmarkEnd w:id="2"/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811162">
        <w:rPr>
          <w:bCs/>
          <w:sz w:val="28"/>
          <w:szCs w:val="28"/>
        </w:rPr>
        <w:t>сентябре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511933">
      <w:pgSz w:w="11906" w:h="16838"/>
      <w:pgMar w:top="426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6E" w:rsidRDefault="00A32A6E" w:rsidP="007D6A76">
      <w:r>
        <w:separator/>
      </w:r>
    </w:p>
  </w:endnote>
  <w:endnote w:type="continuationSeparator" w:id="0">
    <w:p w:rsidR="00A32A6E" w:rsidRDefault="00A32A6E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6E" w:rsidRDefault="00A32A6E" w:rsidP="007D6A76">
      <w:r>
        <w:separator/>
      </w:r>
    </w:p>
  </w:footnote>
  <w:footnote w:type="continuationSeparator" w:id="0">
    <w:p w:rsidR="00A32A6E" w:rsidRDefault="00A32A6E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97EB7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11933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A6D71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11162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C5CDE"/>
    <w:rsid w:val="009D07FB"/>
    <w:rsid w:val="009F4138"/>
    <w:rsid w:val="00A32A6E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4020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2016-06-17T12:14:00Z</dcterms:created>
  <dcterms:modified xsi:type="dcterms:W3CDTF">2016-06-17T12:14:00Z</dcterms:modified>
</cp:coreProperties>
</file>